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470AA" w14:textId="77777777" w:rsidR="00A657BD" w:rsidRDefault="00F42EDE" w:rsidP="00F42EDE">
      <w:pPr>
        <w:jc w:val="center"/>
        <w:rPr>
          <w:sz w:val="28"/>
          <w:szCs w:val="28"/>
        </w:rPr>
      </w:pPr>
      <w:bookmarkStart w:id="0" w:name="_GoBack"/>
      <w:bookmarkEnd w:id="0"/>
      <w:r w:rsidRPr="00F42EDE">
        <w:rPr>
          <w:sz w:val="28"/>
          <w:szCs w:val="28"/>
        </w:rPr>
        <w:t>Notes by number referenced in Column 3 of side by side</w:t>
      </w:r>
    </w:p>
    <w:p w14:paraId="21A2CD93" w14:textId="77777777" w:rsidR="00F42EDE" w:rsidRDefault="00F42EDE" w:rsidP="00F42EDE">
      <w:pPr>
        <w:jc w:val="center"/>
        <w:rPr>
          <w:sz w:val="28"/>
          <w:szCs w:val="28"/>
        </w:rPr>
      </w:pPr>
    </w:p>
    <w:p w14:paraId="7DB5537F" w14:textId="77777777" w:rsidR="00F42EDE" w:rsidRDefault="00F42EDE" w:rsidP="00F42EDE">
      <w:pPr>
        <w:rPr>
          <w:sz w:val="24"/>
          <w:szCs w:val="24"/>
        </w:rPr>
      </w:pPr>
      <w:r>
        <w:rPr>
          <w:sz w:val="24"/>
          <w:szCs w:val="24"/>
        </w:rPr>
        <w:t>1.  Bremen has adopted the Statewide Timber Harvesting Standards to be administered and enforced by the Bureau of Forestry within the Maine Department of Agriculture, Conservation and Forestry.</w:t>
      </w:r>
    </w:p>
    <w:p w14:paraId="305119D6" w14:textId="4D04A728" w:rsidR="00F42EDE" w:rsidRDefault="00F42EDE" w:rsidP="00F42EDE">
      <w:pPr>
        <w:rPr>
          <w:sz w:val="24"/>
          <w:szCs w:val="24"/>
        </w:rPr>
      </w:pPr>
      <w:r>
        <w:rPr>
          <w:sz w:val="24"/>
          <w:szCs w:val="24"/>
        </w:rPr>
        <w:t>2.  DEP’s Model Ordinance indicates 7 possible</w:t>
      </w:r>
      <w:r w:rsidR="00394795">
        <w:rPr>
          <w:sz w:val="24"/>
          <w:szCs w:val="24"/>
        </w:rPr>
        <w:t xml:space="preserve"> district categories</w:t>
      </w:r>
      <w:r>
        <w:rPr>
          <w:sz w:val="24"/>
          <w:szCs w:val="24"/>
        </w:rPr>
        <w:t xml:space="preserve"> </w:t>
      </w:r>
      <w:r w:rsidR="00394795">
        <w:rPr>
          <w:sz w:val="24"/>
          <w:szCs w:val="24"/>
        </w:rPr>
        <w:t xml:space="preserve">within the shoreland zone. Bremen’s ordinance provides for 4 district designations within the </w:t>
      </w:r>
      <w:proofErr w:type="gramStart"/>
      <w:r w:rsidR="008A367A">
        <w:rPr>
          <w:sz w:val="24"/>
          <w:szCs w:val="24"/>
        </w:rPr>
        <w:t xml:space="preserve">shoreland  </w:t>
      </w:r>
      <w:r w:rsidR="00394795">
        <w:rPr>
          <w:sz w:val="24"/>
          <w:szCs w:val="24"/>
        </w:rPr>
        <w:t>zone</w:t>
      </w:r>
      <w:proofErr w:type="gramEnd"/>
      <w:r w:rsidR="00394795">
        <w:rPr>
          <w:sz w:val="24"/>
          <w:szCs w:val="24"/>
        </w:rPr>
        <w:t xml:space="preserve">.  Bremen’s ordinance does not include districts designated as “Limited Commercial,” “General Development </w:t>
      </w:r>
      <w:r w:rsidR="008A367A">
        <w:rPr>
          <w:sz w:val="24"/>
          <w:szCs w:val="24"/>
        </w:rPr>
        <w:t>I, “or</w:t>
      </w:r>
      <w:r w:rsidR="009A1597">
        <w:rPr>
          <w:sz w:val="24"/>
          <w:szCs w:val="24"/>
        </w:rPr>
        <w:t xml:space="preserve"> “General </w:t>
      </w:r>
      <w:r w:rsidR="00394795">
        <w:rPr>
          <w:sz w:val="24"/>
          <w:szCs w:val="24"/>
        </w:rPr>
        <w:t xml:space="preserve">Development II.” </w:t>
      </w:r>
      <w:r>
        <w:rPr>
          <w:sz w:val="24"/>
          <w:szCs w:val="24"/>
        </w:rPr>
        <w:t xml:space="preserve"> </w:t>
      </w:r>
      <w:r w:rsidR="00394795">
        <w:rPr>
          <w:sz w:val="24"/>
          <w:szCs w:val="24"/>
        </w:rPr>
        <w:t xml:space="preserve">DEP designates a “Limited Residential” </w:t>
      </w:r>
      <w:r w:rsidR="008A367A">
        <w:rPr>
          <w:sz w:val="24"/>
          <w:szCs w:val="24"/>
        </w:rPr>
        <w:t>district.</w:t>
      </w:r>
      <w:r w:rsidR="00394795">
        <w:rPr>
          <w:sz w:val="24"/>
          <w:szCs w:val="24"/>
        </w:rPr>
        <w:t xml:space="preserve"> Bremen </w:t>
      </w:r>
      <w:r w:rsidR="003D3C85">
        <w:rPr>
          <w:sz w:val="24"/>
          <w:szCs w:val="24"/>
        </w:rPr>
        <w:t>designates</w:t>
      </w:r>
      <w:r w:rsidR="00394795">
        <w:rPr>
          <w:sz w:val="24"/>
          <w:szCs w:val="24"/>
        </w:rPr>
        <w:t xml:space="preserve"> a “Residential” district.</w:t>
      </w:r>
    </w:p>
    <w:p w14:paraId="3258F365" w14:textId="77777777" w:rsidR="003556FB" w:rsidRDefault="003556FB" w:rsidP="00F42ED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2597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952AE">
        <w:rPr>
          <w:sz w:val="24"/>
          <w:szCs w:val="24"/>
        </w:rPr>
        <w:t>EP</w:t>
      </w:r>
      <w:r>
        <w:rPr>
          <w:sz w:val="24"/>
          <w:szCs w:val="24"/>
        </w:rPr>
        <w:t>’s Model Ordinance begins section 12 (C</w:t>
      </w:r>
      <w:r w:rsidR="00C952AE">
        <w:rPr>
          <w:sz w:val="24"/>
          <w:szCs w:val="24"/>
        </w:rPr>
        <w:t>) Non</w:t>
      </w:r>
      <w:r>
        <w:rPr>
          <w:sz w:val="24"/>
          <w:szCs w:val="24"/>
        </w:rPr>
        <w:t>-conform</w:t>
      </w:r>
      <w:r w:rsidR="00C952AE">
        <w:rPr>
          <w:sz w:val="24"/>
          <w:szCs w:val="24"/>
        </w:rPr>
        <w:t>ing S</w:t>
      </w:r>
      <w:r>
        <w:rPr>
          <w:sz w:val="24"/>
          <w:szCs w:val="24"/>
        </w:rPr>
        <w:t>tructures with a</w:t>
      </w:r>
      <w:r w:rsidR="00C952AE">
        <w:rPr>
          <w:sz w:val="24"/>
          <w:szCs w:val="24"/>
        </w:rPr>
        <w:t>n explicit</w:t>
      </w:r>
      <w:r>
        <w:rPr>
          <w:sz w:val="24"/>
          <w:szCs w:val="24"/>
        </w:rPr>
        <w:t xml:space="preserve"> </w:t>
      </w:r>
      <w:r w:rsidR="00C952AE">
        <w:rPr>
          <w:sz w:val="24"/>
          <w:szCs w:val="24"/>
        </w:rPr>
        <w:t xml:space="preserve">cross </w:t>
      </w:r>
      <w:r>
        <w:rPr>
          <w:sz w:val="24"/>
          <w:szCs w:val="24"/>
        </w:rPr>
        <w:t>reference to the provisions</w:t>
      </w:r>
      <w:r w:rsidR="00C952AE">
        <w:rPr>
          <w:sz w:val="24"/>
          <w:szCs w:val="24"/>
        </w:rPr>
        <w:t xml:space="preserve"> for new structures.</w:t>
      </w:r>
    </w:p>
    <w:p w14:paraId="197E3C91" w14:textId="77777777" w:rsidR="00C952AE" w:rsidRDefault="00C952AE" w:rsidP="00F42EDE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2259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DEP’s Model </w:t>
      </w:r>
      <w:proofErr w:type="gramStart"/>
      <w:r>
        <w:rPr>
          <w:sz w:val="24"/>
          <w:szCs w:val="24"/>
        </w:rPr>
        <w:t>Ordinance  section</w:t>
      </w:r>
      <w:proofErr w:type="gramEnd"/>
      <w:r>
        <w:rPr>
          <w:sz w:val="24"/>
          <w:szCs w:val="24"/>
        </w:rPr>
        <w:t xml:space="preserve"> 12 (C) (1) (b) allows for expansion of existing nonconforming principal structures located within 25 feet of highwater line or upland edge.</w:t>
      </w:r>
    </w:p>
    <w:p w14:paraId="1AE6361C" w14:textId="77777777" w:rsidR="00E00950" w:rsidRDefault="0022597C" w:rsidP="00F42E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5. .</w:t>
      </w:r>
      <w:proofErr w:type="gramEnd"/>
      <w:r>
        <w:rPr>
          <w:sz w:val="24"/>
          <w:szCs w:val="24"/>
        </w:rPr>
        <w:t xml:space="preserve"> Differences in terms used </w:t>
      </w:r>
      <w:r w:rsidR="007B25E3">
        <w:rPr>
          <w:sz w:val="24"/>
          <w:szCs w:val="24"/>
        </w:rPr>
        <w:t>as well as</w:t>
      </w:r>
      <w:r>
        <w:rPr>
          <w:sz w:val="24"/>
          <w:szCs w:val="24"/>
        </w:rPr>
        <w:t xml:space="preserve"> distances must be examined to determine actual impact of provisions</w:t>
      </w:r>
      <w:proofErr w:type="gramStart"/>
      <w:r>
        <w:rPr>
          <w:sz w:val="24"/>
          <w:szCs w:val="24"/>
        </w:rPr>
        <w:t>. .</w:t>
      </w:r>
      <w:proofErr w:type="gramEnd"/>
      <w:r>
        <w:rPr>
          <w:sz w:val="24"/>
          <w:szCs w:val="24"/>
        </w:rPr>
        <w:t xml:space="preserve"> Shading indicates </w:t>
      </w:r>
      <w:r w:rsidR="007B25E3">
        <w:rPr>
          <w:sz w:val="24"/>
          <w:szCs w:val="24"/>
        </w:rPr>
        <w:t xml:space="preserve">some </w:t>
      </w:r>
      <w:r>
        <w:rPr>
          <w:sz w:val="24"/>
          <w:szCs w:val="24"/>
        </w:rPr>
        <w:t xml:space="preserve">differences </w:t>
      </w:r>
      <w:r w:rsidR="007B25E3">
        <w:rPr>
          <w:sz w:val="24"/>
          <w:szCs w:val="24"/>
        </w:rPr>
        <w:t>in language and text included in one ordinance but not the other.</w:t>
      </w:r>
      <w:r>
        <w:rPr>
          <w:sz w:val="24"/>
          <w:szCs w:val="24"/>
        </w:rPr>
        <w:t xml:space="preserve"> </w:t>
      </w:r>
    </w:p>
    <w:p w14:paraId="0CB682D4" w14:textId="77777777" w:rsidR="009A1597" w:rsidRDefault="00E00950" w:rsidP="00F42EDE">
      <w:pPr>
        <w:rPr>
          <w:sz w:val="24"/>
          <w:szCs w:val="24"/>
        </w:rPr>
      </w:pPr>
      <w:r>
        <w:rPr>
          <w:sz w:val="24"/>
          <w:szCs w:val="24"/>
        </w:rPr>
        <w:t>6. Bremen has included additional areas recommended for protection under the Resource Protection District designation.  DEP’s model ordinance suggests municipalities may so designate additional lands.</w:t>
      </w:r>
      <w:r w:rsidR="009A1597">
        <w:rPr>
          <w:sz w:val="24"/>
          <w:szCs w:val="24"/>
        </w:rPr>
        <w:t xml:space="preserve"> </w:t>
      </w:r>
      <w:proofErr w:type="gramStart"/>
      <w:r w:rsidR="009A1597">
        <w:rPr>
          <w:sz w:val="24"/>
          <w:szCs w:val="24"/>
        </w:rPr>
        <w:t>( see</w:t>
      </w:r>
      <w:proofErr w:type="gramEnd"/>
      <w:r w:rsidR="009A1597">
        <w:rPr>
          <w:sz w:val="24"/>
          <w:szCs w:val="24"/>
        </w:rPr>
        <w:t xml:space="preserve"> text in italics in DEP note)</w:t>
      </w:r>
    </w:p>
    <w:p w14:paraId="50C5AA66" w14:textId="31AC7299" w:rsidR="007B25E3" w:rsidRDefault="003D3C85" w:rsidP="00F42EDE">
      <w:pPr>
        <w:rPr>
          <w:sz w:val="24"/>
          <w:szCs w:val="24"/>
        </w:rPr>
      </w:pPr>
      <w:r>
        <w:rPr>
          <w:sz w:val="24"/>
          <w:szCs w:val="24"/>
        </w:rPr>
        <w:t>7. Bremen’s Shor</w:t>
      </w:r>
      <w:r w:rsidR="009A1597">
        <w:rPr>
          <w:sz w:val="24"/>
          <w:szCs w:val="24"/>
        </w:rPr>
        <w:t xml:space="preserve">eland Zoning ordinance does not include districts designated as “Limited Commercial,” “General Development </w:t>
      </w:r>
      <w:r w:rsidR="008A367A">
        <w:rPr>
          <w:sz w:val="24"/>
          <w:szCs w:val="24"/>
        </w:rPr>
        <w:t>I,” or</w:t>
      </w:r>
      <w:r w:rsidR="009A1597">
        <w:rPr>
          <w:sz w:val="24"/>
          <w:szCs w:val="24"/>
        </w:rPr>
        <w:t xml:space="preserve"> “General Development II.”</w:t>
      </w:r>
    </w:p>
    <w:p w14:paraId="4A26EB6A" w14:textId="77777777" w:rsidR="00123F0B" w:rsidRDefault="00123F0B" w:rsidP="00F42EDE">
      <w:pPr>
        <w:rPr>
          <w:sz w:val="24"/>
          <w:szCs w:val="24"/>
        </w:rPr>
      </w:pPr>
      <w:r>
        <w:rPr>
          <w:sz w:val="24"/>
          <w:szCs w:val="24"/>
        </w:rPr>
        <w:t xml:space="preserve">8.  Several differences; some relating to </w:t>
      </w:r>
      <w:r w:rsidR="00B359BB">
        <w:rPr>
          <w:sz w:val="24"/>
          <w:szCs w:val="24"/>
        </w:rPr>
        <w:t>differences</w:t>
      </w:r>
      <w:r>
        <w:rPr>
          <w:sz w:val="24"/>
          <w:szCs w:val="24"/>
        </w:rPr>
        <w:t xml:space="preserve"> in district designation.</w:t>
      </w:r>
    </w:p>
    <w:p w14:paraId="52220B9C" w14:textId="77777777" w:rsidR="0022597C" w:rsidRPr="00F42EDE" w:rsidRDefault="00B359BB" w:rsidP="00F42EDE">
      <w:pPr>
        <w:rPr>
          <w:sz w:val="24"/>
          <w:szCs w:val="24"/>
        </w:rPr>
      </w:pPr>
      <w:r>
        <w:rPr>
          <w:sz w:val="24"/>
          <w:szCs w:val="24"/>
        </w:rPr>
        <w:t xml:space="preserve">9. Differences in distances and classifications.  </w:t>
      </w:r>
    </w:p>
    <w:sectPr w:rsidR="0022597C" w:rsidRPr="00F42EDE" w:rsidSect="008A36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DE"/>
    <w:rsid w:val="00123F0B"/>
    <w:rsid w:val="0022597C"/>
    <w:rsid w:val="003556FB"/>
    <w:rsid w:val="00394795"/>
    <w:rsid w:val="003D3C85"/>
    <w:rsid w:val="0040381C"/>
    <w:rsid w:val="007B25E3"/>
    <w:rsid w:val="008A367A"/>
    <w:rsid w:val="009A1597"/>
    <w:rsid w:val="00AF1017"/>
    <w:rsid w:val="00B359BB"/>
    <w:rsid w:val="00C952AE"/>
    <w:rsid w:val="00CF3719"/>
    <w:rsid w:val="00E00950"/>
    <w:rsid w:val="00F42EDE"/>
    <w:rsid w:val="00F57037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DDB7"/>
  <w15:chartTrackingRefBased/>
  <w15:docId w15:val="{35DCE2C9-9DC3-43C0-ADF1-40D41DB1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Bremen-WS</cp:lastModifiedBy>
  <cp:revision>2</cp:revision>
  <dcterms:created xsi:type="dcterms:W3CDTF">2019-06-13T12:57:00Z</dcterms:created>
  <dcterms:modified xsi:type="dcterms:W3CDTF">2019-06-13T12:57:00Z</dcterms:modified>
</cp:coreProperties>
</file>